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D6E90">
        <w:rPr>
          <w:sz w:val="26"/>
          <w:szCs w:val="26"/>
        </w:rPr>
        <w:t>___________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№____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5D3B77">
        <w:rPr>
          <w:sz w:val="28"/>
        </w:rPr>
        <w:t>Заключение договора аренды на земли сельскохозяйственного назначения, находящиеся в муниципальной собственности или государственная собственность на которые не разграничена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Pr="005D3B77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>Администрация</w:t>
            </w:r>
            <w:r w:rsidR="00495EB4" w:rsidRPr="005D3B77">
              <w:rPr>
                <w:rFonts w:cs="Courier New"/>
              </w:rPr>
              <w:t xml:space="preserve"> </w:t>
            </w:r>
            <w:proofErr w:type="spellStart"/>
            <w:proofErr w:type="gramStart"/>
            <w:r w:rsidR="007A35F4" w:rsidRPr="005D3B77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5D3B77">
              <w:rPr>
                <w:rFonts w:ascii="Times New Roman" w:hAnsi="Times New Roman"/>
              </w:rPr>
              <w:t xml:space="preserve"> муниципального района </w:t>
            </w:r>
            <w:r w:rsidR="007A35F4" w:rsidRPr="005D3B77">
              <w:rPr>
                <w:rFonts w:ascii="Times New Roman" w:hAnsi="Times New Roman"/>
              </w:rPr>
              <w:t>Челябинской</w:t>
            </w:r>
            <w:r w:rsidRPr="005D3B77">
              <w:rPr>
                <w:rFonts w:ascii="Times New Roman" w:hAnsi="Times New Roman"/>
              </w:rPr>
              <w:t xml:space="preserve"> области</w:t>
            </w:r>
          </w:p>
          <w:p w:rsidR="00B53747" w:rsidRPr="005D3B77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 w:rsidRPr="005D3B77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5D3B77"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5D3B77">
              <w:rPr>
                <w:rFonts w:ascii="Times New Roman" w:hAnsi="Times New Roman"/>
              </w:rPr>
              <w:t xml:space="preserve">. </w:t>
            </w:r>
          </w:p>
          <w:p w:rsidR="00906E69" w:rsidRPr="005D3B77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>МБ</w:t>
            </w:r>
            <w:r w:rsidR="00B53747" w:rsidRPr="005D3B77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D3B77" w:rsidRDefault="00BB7FAD" w:rsidP="005D3B7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BB7FAD">
              <w:rPr>
                <w:rFonts w:ascii="Times New Roman" w:hAnsi="Times New Roman"/>
                <w:b/>
              </w:rPr>
              <w:t>7400000000218937057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5D3B77" w:rsidRDefault="009A7B50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5D3B77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5D3B77"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5D3B77" w:rsidRDefault="00B53747" w:rsidP="009A7B50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5D3B77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5D3B77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5D3B77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5D3B77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5D3B77">
              <w:rPr>
                <w:rFonts w:ascii="Times New Roman" w:hAnsi="Times New Roman"/>
              </w:rPr>
              <w:t xml:space="preserve"> области от</w:t>
            </w:r>
            <w:r w:rsidR="00C07F2B" w:rsidRPr="005D3B77">
              <w:rPr>
                <w:rFonts w:ascii="Times New Roman" w:hAnsi="Times New Roman"/>
              </w:rPr>
              <w:t xml:space="preserve"> 2</w:t>
            </w:r>
            <w:r w:rsidR="009A7B50">
              <w:rPr>
                <w:rFonts w:ascii="Times New Roman" w:hAnsi="Times New Roman"/>
              </w:rPr>
              <w:t>7.09</w:t>
            </w:r>
            <w:r w:rsidR="00C07F2B" w:rsidRPr="005D3B77">
              <w:rPr>
                <w:rFonts w:ascii="Times New Roman" w:hAnsi="Times New Roman"/>
              </w:rPr>
              <w:t>.201</w:t>
            </w:r>
            <w:r w:rsidR="007A35F4" w:rsidRPr="005D3B77">
              <w:rPr>
                <w:rFonts w:ascii="Times New Roman" w:hAnsi="Times New Roman"/>
              </w:rPr>
              <w:t>7</w:t>
            </w:r>
            <w:r w:rsidR="00C07F2B" w:rsidRPr="005D3B77">
              <w:rPr>
                <w:rFonts w:ascii="Times New Roman" w:hAnsi="Times New Roman"/>
              </w:rPr>
              <w:t xml:space="preserve">г. № </w:t>
            </w:r>
            <w:r w:rsidR="007A35F4" w:rsidRPr="005D3B77">
              <w:rPr>
                <w:rFonts w:ascii="Times New Roman" w:hAnsi="Times New Roman"/>
              </w:rPr>
              <w:t>8</w:t>
            </w:r>
            <w:r w:rsidR="009A7B50">
              <w:rPr>
                <w:rFonts w:ascii="Times New Roman" w:hAnsi="Times New Roman"/>
              </w:rPr>
              <w:t>0</w:t>
            </w:r>
            <w:r w:rsidR="005D3B77" w:rsidRPr="005D3B77">
              <w:rPr>
                <w:rFonts w:ascii="Times New Roman" w:hAnsi="Times New Roman"/>
              </w:rPr>
              <w:t>3</w:t>
            </w:r>
            <w:r w:rsidR="00C07F2B" w:rsidRPr="005D3B77">
              <w:rPr>
                <w:rFonts w:ascii="Times New Roman" w:hAnsi="Times New Roman"/>
              </w:rPr>
              <w:t xml:space="preserve"> </w:t>
            </w:r>
            <w:r w:rsidR="00814D40" w:rsidRPr="005D3B77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услуги </w:t>
            </w:r>
            <w:r w:rsidR="00C07F2B" w:rsidRPr="005D3B77">
              <w:rPr>
                <w:rFonts w:ascii="Times New Roman" w:hAnsi="Times New Roman"/>
              </w:rPr>
              <w:t>«</w:t>
            </w:r>
            <w:r w:rsidR="009A7B50">
              <w:rPr>
                <w:rFonts w:ascii="Times New Roman" w:hAnsi="Times New Roman"/>
              </w:rPr>
              <w:t>Предоставление земельного участка в собственность граждан для садоводства</w:t>
            </w:r>
            <w:r w:rsidR="00C07F2B" w:rsidRPr="005D3B77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  <w:r w:rsidR="009A7B50">
              <w:rPr>
                <w:rFonts w:ascii="Times New Roman" w:eastAsia="DejaVu Sans" w:hAnsi="Times New Roman"/>
                <w:color w:val="000000"/>
                <w:lang w:bidi="ru-RU"/>
              </w:rPr>
              <w:t xml:space="preserve"> (с изменениями внесенными постановлением Администрации </w:t>
            </w:r>
            <w:proofErr w:type="spellStart"/>
            <w:r w:rsidR="009A7B50">
              <w:rPr>
                <w:rFonts w:ascii="Times New Roman" w:eastAsia="DejaVu Sans" w:hAnsi="Times New Roman"/>
                <w:color w:val="000000"/>
                <w:lang w:bidi="ru-RU"/>
              </w:rPr>
              <w:t>Катав-Ивановского</w:t>
            </w:r>
            <w:proofErr w:type="spellEnd"/>
            <w:r w:rsidR="009A7B50">
              <w:rPr>
                <w:rFonts w:ascii="Times New Roman" w:eastAsia="DejaVu Sans" w:hAnsi="Times New Roman"/>
                <w:color w:val="000000"/>
                <w:lang w:bidi="ru-RU"/>
              </w:rPr>
              <w:t xml:space="preserve"> муниципального района от 07.11.2017г. №958)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5D3B77" w:rsidRDefault="009A7B50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5D3B77" w:rsidRDefault="00495EB4" w:rsidP="00C8195D">
            <w:pPr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 xml:space="preserve">- </w:t>
            </w:r>
            <w:r w:rsidR="00C8195D" w:rsidRPr="005D3B77">
              <w:rPr>
                <w:rFonts w:ascii="Times New Roman" w:hAnsi="Times New Roman"/>
              </w:rPr>
              <w:t>телефонная связь;</w:t>
            </w:r>
          </w:p>
          <w:p w:rsidR="00C8195D" w:rsidRPr="005D3B77" w:rsidRDefault="00C8195D" w:rsidP="00C8195D">
            <w:pPr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5D3B77" w:rsidRDefault="00C8195D" w:rsidP="00C8195D">
            <w:pPr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 w:rsidRPr="005D3B77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5D3B77">
              <w:rPr>
                <w:rFonts w:ascii="Times New Roman" w:hAnsi="Times New Roman"/>
              </w:rPr>
              <w:t xml:space="preserve"> муниципального района</w:t>
            </w:r>
            <w:r w:rsidRPr="005D3B77">
              <w:rPr>
                <w:rFonts w:ascii="Times New Roman" w:hAnsi="Times New Roman"/>
              </w:rPr>
              <w:t xml:space="preserve"> </w:t>
            </w:r>
          </w:p>
          <w:p w:rsidR="00906E69" w:rsidRPr="005D3B77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5D3B77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9A7B50">
              <w:rPr>
                <w:rFonts w:ascii="Times New Roman" w:hAnsi="Times New Roman"/>
              </w:rPr>
              <w:t>.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заявление подано лицом, не уполномоченным на осуществление таких действий;</w:t>
            </w:r>
          </w:p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в заявлении не указаны обязательные реквизиты и сведения, предусмотренные приложением 1 административного регламента;</w:t>
            </w:r>
          </w:p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тексты представленных документов написаны неразборчиво, не полностью или исполнены карандашом;</w:t>
            </w:r>
          </w:p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 xml:space="preserve">представленные документы содержат подчистки, приписки, зачеркнутые слова и иные не оговоренные исправления, имеют серьезные повреждения, наличие которых не позволяет однозначно истолковать их </w:t>
            </w:r>
            <w:r w:rsidRPr="009A7B50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содержание;</w:t>
            </w:r>
          </w:p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копии документов, направленные заявителем по почте, не удостоверены нотариально;</w:t>
            </w:r>
          </w:p>
          <w:p w:rsidR="009A7B50" w:rsidRDefault="009A7B50" w:rsidP="009A7B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документы, направленные в форме электронных документов, не соответствуют перечню, установленн</w:t>
            </w:r>
            <w:r>
              <w:rPr>
                <w:rFonts w:ascii="Times New Roman" w:hAnsi="Times New Roman"/>
                <w:sz w:val="20"/>
                <w:szCs w:val="20"/>
              </w:rPr>
              <w:t>ым</w:t>
            </w:r>
            <w:r w:rsidRPr="009A7B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требованиям;</w:t>
            </w:r>
          </w:p>
          <w:p w:rsidR="009A7B50" w:rsidRPr="009A7B50" w:rsidRDefault="009A7B50" w:rsidP="009A7B50">
            <w:pPr>
              <w:jc w:val="both"/>
              <w:rPr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в результате проверки электронной подписи заявителя выявлено несоблюдение установленных условий признания ее действительности;</w:t>
            </w:r>
          </w:p>
          <w:p w:rsidR="00F47128" w:rsidRPr="007F751C" w:rsidRDefault="009A7B50" w:rsidP="009A7B50">
            <w:pPr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A7B50">
              <w:rPr>
                <w:rFonts w:ascii="Times New Roman" w:hAnsi="Times New Roman"/>
                <w:sz w:val="20"/>
                <w:szCs w:val="20"/>
              </w:rPr>
              <w:t>в комплекте представленных заявителем документов присутствуют не все документы, которые заявитель обязан предоставить самостоятельно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4D2000" w:rsidRPr="004D2000" w:rsidRDefault="004D2000" w:rsidP="00893838">
            <w:pPr>
              <w:pStyle w:val="a9"/>
              <w:spacing w:line="276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00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земельных участков соответствующего целевого назначения и разрешенного использования, свободных от прав третьих лиц;</w:t>
            </w:r>
          </w:p>
          <w:p w:rsidR="004D2000" w:rsidRPr="004D2000" w:rsidRDefault="004D2000" w:rsidP="00893838">
            <w:pPr>
              <w:pStyle w:val="a9"/>
              <w:spacing w:line="276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00">
              <w:rPr>
                <w:rFonts w:ascii="Times New Roman" w:hAnsi="Times New Roman"/>
                <w:sz w:val="20"/>
                <w:szCs w:val="20"/>
              </w:rPr>
              <w:t xml:space="preserve"> в случае</w:t>
            </w:r>
            <w:proofErr w:type="gramStart"/>
            <w:r w:rsidRPr="004D2000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D2000">
              <w:rPr>
                <w:rFonts w:ascii="Times New Roman" w:hAnsi="Times New Roman"/>
                <w:sz w:val="20"/>
                <w:szCs w:val="20"/>
              </w:rPr>
              <w:t xml:space="preserve"> если земельный участок для садоводства ранее уже предоставлялся гражданину однократно бесплатно (за исключением случаев, связанных со стихийными бедствиями, либо в силу иных чрезвычайных обстоятельств, вследствие которых невозможно дальнейшее использование земельного участка по его целевому назначению);</w:t>
            </w:r>
          </w:p>
          <w:p w:rsidR="004D2000" w:rsidRPr="004D2000" w:rsidRDefault="004D2000" w:rsidP="00893838">
            <w:pPr>
              <w:pStyle w:val="a9"/>
              <w:spacing w:line="276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00"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 w:rsidRPr="004D2000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D2000">
              <w:rPr>
                <w:rFonts w:ascii="Times New Roman" w:hAnsi="Times New Roman"/>
                <w:sz w:val="20"/>
                <w:szCs w:val="20"/>
              </w:rPr>
              <w:t xml:space="preserve"> если получатель муниципальной услуги не проживает на территории Челябинской области;</w:t>
            </w:r>
          </w:p>
          <w:p w:rsidR="004D2000" w:rsidRPr="004D2000" w:rsidRDefault="004D2000" w:rsidP="00893838">
            <w:pPr>
              <w:pStyle w:val="a9"/>
              <w:spacing w:line="276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00"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 w:rsidRPr="004D2000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D2000">
              <w:rPr>
                <w:rFonts w:ascii="Times New Roman" w:hAnsi="Times New Roman"/>
                <w:sz w:val="20"/>
                <w:szCs w:val="20"/>
              </w:rPr>
              <w:t xml:space="preserve"> если получатель муниципальной услуги не является членом </w:t>
            </w:r>
            <w:r w:rsidRPr="004D2000">
              <w:rPr>
                <w:rFonts w:ascii="Times New Roman" w:hAnsi="Times New Roman"/>
                <w:sz w:val="20"/>
                <w:szCs w:val="20"/>
              </w:rPr>
              <w:lastRenderedPageBreak/>
              <w:t>садоводческого некоммерческого объединения (товарищества), в границах территории которого расположен испрашиваемый земельный участок;</w:t>
            </w:r>
          </w:p>
          <w:p w:rsidR="004D2000" w:rsidRPr="004D2000" w:rsidRDefault="004D2000" w:rsidP="00893838">
            <w:pPr>
              <w:pStyle w:val="a9"/>
              <w:spacing w:line="276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00"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 w:rsidRPr="004D2000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D2000">
              <w:rPr>
                <w:rFonts w:ascii="Times New Roman" w:hAnsi="Times New Roman"/>
                <w:sz w:val="20"/>
                <w:szCs w:val="20"/>
              </w:rPr>
              <w:t xml:space="preserve"> если испрашиваемый земельный участок расположен за границами территории садоводческого некоммерческого объединения (товарищества);</w:t>
            </w:r>
          </w:p>
          <w:p w:rsidR="00F47128" w:rsidRPr="00215C77" w:rsidRDefault="004D2000" w:rsidP="004D2000">
            <w:pPr>
              <w:ind w:left="-108"/>
              <w:jc w:val="both"/>
              <w:rPr>
                <w:rFonts w:ascii="Times New Roman" w:hAnsi="Times New Roman"/>
                <w:b/>
              </w:rPr>
            </w:pPr>
            <w:r w:rsidRPr="004D2000">
              <w:rPr>
                <w:rFonts w:ascii="Times New Roman" w:eastAsia="Calibri" w:hAnsi="Times New Roman"/>
                <w:sz w:val="20"/>
                <w:szCs w:val="20"/>
              </w:rPr>
              <w:t>6) площадь земельного участка не соответствует установленным предельным минимальным (максимальным) размерам земельных участков, предоставляемым гражданам для садоводства в собственность бесплатно</w:t>
            </w: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5D3B77" w:rsidRPr="005D3B77">
              <w:rPr>
                <w:rFonts w:ascii="Times New Roman" w:hAnsi="Times New Roman"/>
              </w:rPr>
              <w:t xml:space="preserve"> </w:t>
            </w:r>
            <w:r w:rsidR="009A7B50" w:rsidRPr="009A7B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9A7B50">
              <w:rPr>
                <w:rFonts w:ascii="Times New Roman" w:hAnsi="Times New Roman"/>
              </w:rPr>
              <w:t>.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893838" w:rsidRPr="00AE3BCE" w:rsidRDefault="00713DE3" w:rsidP="00893838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  <w:p w:rsidR="0078406B" w:rsidRPr="00AE3BCE" w:rsidRDefault="0078406B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93838" w:rsidRPr="00301093" w:rsidRDefault="0078406B" w:rsidP="00893838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</w:t>
            </w:r>
            <w:r w:rsidR="007C16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="00893838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</w:t>
            </w:r>
            <w:r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9A7B50">
              <w:rPr>
                <w:rFonts w:ascii="Times New Roman" w:hAnsi="Times New Roman"/>
              </w:rPr>
              <w:t>.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6C42DA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C42DA">
              <w:rPr>
                <w:rFonts w:ascii="Times New Roman" w:hAnsi="Times New Roman"/>
                <w:sz w:val="20"/>
                <w:szCs w:val="20"/>
              </w:rPr>
              <w:t>описание местоположение испрашиваемого земельного участка</w:t>
            </w:r>
          </w:p>
        </w:tc>
        <w:tc>
          <w:tcPr>
            <w:tcW w:w="2835" w:type="dxa"/>
          </w:tcPr>
          <w:p w:rsidR="00E02CC8" w:rsidRPr="008E210B" w:rsidRDefault="006C42DA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C42DA">
              <w:rPr>
                <w:rFonts w:ascii="Times New Roman" w:hAnsi="Times New Roman"/>
                <w:sz w:val="20"/>
                <w:szCs w:val="20"/>
              </w:rPr>
              <w:t>описание местоположение испрашиваемого земельного участка</w:t>
            </w:r>
          </w:p>
        </w:tc>
        <w:tc>
          <w:tcPr>
            <w:tcW w:w="1842" w:type="dxa"/>
          </w:tcPr>
          <w:p w:rsidR="00E02CC8" w:rsidRDefault="006C42DA" w:rsidP="006E57A3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экз.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6C42DA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6C42DA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C42DA">
              <w:rPr>
                <w:rFonts w:ascii="Times New Roman" w:hAnsi="Times New Roman"/>
                <w:sz w:val="20"/>
                <w:szCs w:val="20"/>
              </w:rPr>
              <w:t>заключение правления садоводческого некоммерческого объединения (товарищества) граждан, в котором указывается гражданин, за которым закреплен земельный участок, и подтверждается соответствие указанного местоположения такого земельного участка местоположению земельного участка, фактически используемого гражданином</w:t>
            </w:r>
          </w:p>
        </w:tc>
        <w:tc>
          <w:tcPr>
            <w:tcW w:w="2835" w:type="dxa"/>
          </w:tcPr>
          <w:p w:rsidR="00E02CC8" w:rsidRPr="008E210B" w:rsidRDefault="006C42DA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C42DA">
              <w:rPr>
                <w:rFonts w:ascii="Times New Roman" w:hAnsi="Times New Roman"/>
                <w:sz w:val="20"/>
                <w:szCs w:val="20"/>
              </w:rPr>
              <w:t>заключение правления садоводческого некоммерческого объединения (товарищества) граждан, в котором указывается гражданин, за которым закреплен земельный участок, и подтверждается соответствие указанного местоположения такого земельного участка местоположению земельного участка, фактически используемого гражданином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6B04">
              <w:rPr>
                <w:rFonts w:ascii="Times New Roman" w:hAnsi="Times New Roman"/>
                <w:sz w:val="20"/>
                <w:szCs w:val="20"/>
              </w:rPr>
              <w:t>1 экз.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D76B04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</w:t>
            </w:r>
            <w:r w:rsidRPr="00DF72FE">
              <w:rPr>
                <w:rFonts w:ascii="Times New Roman" w:hAnsi="Times New Roman"/>
                <w:b/>
              </w:rPr>
              <w:lastRenderedPageBreak/>
              <w:t>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lastRenderedPageBreak/>
              <w:t>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D76B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D76B04">
              <w:rPr>
                <w:rFonts w:ascii="Times New Roman" w:hAnsi="Times New Roman"/>
                <w:sz w:val="20"/>
                <w:szCs w:val="20"/>
              </w:rPr>
              <w:t>на земельный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 xml:space="preserve"> участ</w:t>
            </w:r>
            <w:r w:rsidR="00D76B04">
              <w:rPr>
                <w:rFonts w:ascii="Times New Roman" w:hAnsi="Times New Roman"/>
                <w:sz w:val="20"/>
                <w:szCs w:val="20"/>
              </w:rPr>
              <w:t>о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126" w:type="dxa"/>
          </w:tcPr>
          <w:p w:rsidR="00CD1905" w:rsidRPr="008E210B" w:rsidRDefault="00D76B04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>
              <w:rPr>
                <w:rFonts w:ascii="Times New Roman" w:hAnsi="Times New Roman"/>
                <w:sz w:val="20"/>
                <w:szCs w:val="20"/>
              </w:rPr>
              <w:t>на земельный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76B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 xml:space="preserve">выписка из ЕГРЮЛ о юридическом лице, </w:t>
            </w:r>
          </w:p>
        </w:tc>
        <w:tc>
          <w:tcPr>
            <w:tcW w:w="2126" w:type="dxa"/>
          </w:tcPr>
          <w:p w:rsidR="005E52B5" w:rsidRPr="00942F15" w:rsidRDefault="00942F15" w:rsidP="00D76B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D73DFB" w:rsidRDefault="00BD0CD6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CD6">
              <w:rPr>
                <w:rFonts w:ascii="Times New Roman" w:hAnsi="Times New Roman"/>
                <w:sz w:val="20"/>
                <w:szCs w:val="20"/>
              </w:rPr>
              <w:t>удостоверенную правлением садоводческого некоммерческого объединения (товарищества) граждан копию правоустанавливающего документа на земельный участок, составляющий территорию данного некоммерческого объединения</w:t>
            </w:r>
          </w:p>
        </w:tc>
        <w:tc>
          <w:tcPr>
            <w:tcW w:w="2126" w:type="dxa"/>
          </w:tcPr>
          <w:p w:rsidR="005E52B5" w:rsidRPr="00D73DFB" w:rsidRDefault="00BD0CD6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CD6">
              <w:rPr>
                <w:rFonts w:ascii="Times New Roman" w:hAnsi="Times New Roman"/>
                <w:sz w:val="20"/>
                <w:szCs w:val="20"/>
              </w:rPr>
              <w:t>удостоверенную правлением садоводческого некоммерческого объединения (товарищества) граждан копию правоустанавливающего документа на земельный участок, составляющий территорию данного некоммерческого объединения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9A7B50">
              <w:rPr>
                <w:rFonts w:ascii="Times New Roman" w:hAnsi="Times New Roman"/>
              </w:rPr>
              <w:t>.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233B6F" w:rsidRPr="00FD5ADA" w:rsidRDefault="003637AE" w:rsidP="00F676CB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37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о предоставлении получателю муниципальной услуги земельного участка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3637AE" w:rsidRPr="00DF72FE" w:rsidTr="00D96C3C">
        <w:tc>
          <w:tcPr>
            <w:tcW w:w="534" w:type="dxa"/>
          </w:tcPr>
          <w:p w:rsidR="003637AE" w:rsidRPr="00CB4CEF" w:rsidRDefault="003637AE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3637AE" w:rsidRPr="00245B97" w:rsidRDefault="003637AE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3637AE" w:rsidRPr="00CB4CEF" w:rsidRDefault="003637AE" w:rsidP="009F01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3637AE" w:rsidRPr="00CB4CEF" w:rsidRDefault="003637AE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3637AE" w:rsidRPr="00CB4CEF" w:rsidRDefault="003637AE" w:rsidP="009F01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3637AE" w:rsidRPr="00CB4CEF" w:rsidRDefault="003637AE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3637AE" w:rsidRPr="00B0230D" w:rsidRDefault="003637AE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3637AE" w:rsidRPr="00B0230D" w:rsidRDefault="003637AE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37AE" w:rsidRPr="00CB4CEF" w:rsidRDefault="003637AE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3637AE" w:rsidRPr="00CB4CEF" w:rsidRDefault="003637AE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44" w:type="dxa"/>
          </w:tcPr>
          <w:p w:rsidR="00CB6F1A" w:rsidRPr="000C05ED" w:rsidRDefault="00CB6F1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213A47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FA60C9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получения заявителем информации о </w:t>
            </w:r>
            <w:r w:rsidRPr="00DF72FE">
              <w:rPr>
                <w:rFonts w:ascii="Times New Roman" w:hAnsi="Times New Roman"/>
                <w:b/>
              </w:rPr>
              <w:lastRenderedPageBreak/>
              <w:t>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</w:t>
            </w:r>
            <w:r>
              <w:rPr>
                <w:rFonts w:ascii="Times New Roman" w:hAnsi="Times New Roman"/>
                <w:b/>
              </w:rPr>
              <w:lastRenderedPageBreak/>
              <w:t xml:space="preserve">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Способ формирования </w:t>
            </w:r>
            <w:r>
              <w:rPr>
                <w:rFonts w:ascii="Times New Roman" w:hAnsi="Times New Roman"/>
                <w:b/>
              </w:rPr>
              <w:lastRenderedPageBreak/>
              <w:t>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приема и регистрации органом, </w:t>
            </w:r>
            <w:r w:rsidRPr="00DF72FE">
              <w:rPr>
                <w:rFonts w:ascii="Times New Roman" w:hAnsi="Times New Roman"/>
                <w:b/>
              </w:rPr>
              <w:lastRenderedPageBreak/>
              <w:t>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 xml:space="preserve">за </w:t>
            </w:r>
            <w:r>
              <w:rPr>
                <w:rFonts w:ascii="Times New Roman" w:hAnsi="Times New Roman"/>
                <w:b/>
              </w:rPr>
              <w:lastRenderedPageBreak/>
              <w:t>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получения сведений о ходе выполнения запроса о </w:t>
            </w:r>
            <w:r w:rsidRPr="00DF72FE">
              <w:rPr>
                <w:rFonts w:ascii="Times New Roman" w:hAnsi="Times New Roman"/>
                <w:b/>
              </w:rPr>
              <w:lastRenderedPageBreak/>
              <w:t>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lastRenderedPageBreak/>
              <w:t>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9A7B50" w:rsidRPr="009A7B50">
              <w:rPr>
                <w:rFonts w:ascii="Times New Roman" w:hAnsi="Times New Roman"/>
              </w:rPr>
              <w:t>Предоставление земельных участков членам садоводческих, огороднических, дачных некоммерческих объединений граждан</w:t>
            </w:r>
            <w:r w:rsidR="009A7B50">
              <w:rPr>
                <w:rFonts w:ascii="Times New Roman" w:hAnsi="Times New Roman"/>
              </w:rPr>
              <w:t>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896ADF"/>
    <w:multiLevelType w:val="hybridMultilevel"/>
    <w:tmpl w:val="6498AE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1">
    <w:nsid w:val="57B50D0C"/>
    <w:multiLevelType w:val="hybridMultilevel"/>
    <w:tmpl w:val="AC2CA20E"/>
    <w:lvl w:ilvl="0" w:tplc="5FDCC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2C78B6"/>
    <w:multiLevelType w:val="hybridMultilevel"/>
    <w:tmpl w:val="261C6BFE"/>
    <w:lvl w:ilvl="0" w:tplc="50AEA1C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18"/>
  </w:num>
  <w:num w:numId="5">
    <w:abstractNumId w:val="17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13"/>
  </w:num>
  <w:num w:numId="11">
    <w:abstractNumId w:val="5"/>
  </w:num>
  <w:num w:numId="12">
    <w:abstractNumId w:val="8"/>
  </w:num>
  <w:num w:numId="13">
    <w:abstractNumId w:val="15"/>
  </w:num>
  <w:num w:numId="14">
    <w:abstractNumId w:val="16"/>
  </w:num>
  <w:num w:numId="15">
    <w:abstractNumId w:val="7"/>
  </w:num>
  <w:num w:numId="16">
    <w:abstractNumId w:val="3"/>
  </w:num>
  <w:num w:numId="17">
    <w:abstractNumId w:val="11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8684D"/>
    <w:rsid w:val="0019286B"/>
    <w:rsid w:val="00192DE5"/>
    <w:rsid w:val="001B4167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C43E1"/>
    <w:rsid w:val="002D7C32"/>
    <w:rsid w:val="002F3305"/>
    <w:rsid w:val="00304153"/>
    <w:rsid w:val="00305005"/>
    <w:rsid w:val="00327988"/>
    <w:rsid w:val="0035223F"/>
    <w:rsid w:val="00362D39"/>
    <w:rsid w:val="003637AE"/>
    <w:rsid w:val="003C5FC4"/>
    <w:rsid w:val="003C72CF"/>
    <w:rsid w:val="003C7A88"/>
    <w:rsid w:val="003D289A"/>
    <w:rsid w:val="003F53AA"/>
    <w:rsid w:val="003F728D"/>
    <w:rsid w:val="00402E6B"/>
    <w:rsid w:val="00407950"/>
    <w:rsid w:val="004468C3"/>
    <w:rsid w:val="004605D6"/>
    <w:rsid w:val="00464EF8"/>
    <w:rsid w:val="00474A30"/>
    <w:rsid w:val="00495EB4"/>
    <w:rsid w:val="004C6129"/>
    <w:rsid w:val="004C6896"/>
    <w:rsid w:val="004D2000"/>
    <w:rsid w:val="004D2692"/>
    <w:rsid w:val="004E45EE"/>
    <w:rsid w:val="0051592C"/>
    <w:rsid w:val="00515ADB"/>
    <w:rsid w:val="005327E9"/>
    <w:rsid w:val="00533937"/>
    <w:rsid w:val="00534BCC"/>
    <w:rsid w:val="00536FE1"/>
    <w:rsid w:val="00540CF9"/>
    <w:rsid w:val="0055193F"/>
    <w:rsid w:val="0056453C"/>
    <w:rsid w:val="005740C6"/>
    <w:rsid w:val="005814D6"/>
    <w:rsid w:val="00597D32"/>
    <w:rsid w:val="005B18F6"/>
    <w:rsid w:val="005C5F75"/>
    <w:rsid w:val="005D3B77"/>
    <w:rsid w:val="005E08BF"/>
    <w:rsid w:val="005E52B5"/>
    <w:rsid w:val="00601762"/>
    <w:rsid w:val="006503D7"/>
    <w:rsid w:val="00662F33"/>
    <w:rsid w:val="00687E06"/>
    <w:rsid w:val="006A3132"/>
    <w:rsid w:val="006B0E79"/>
    <w:rsid w:val="006C42DA"/>
    <w:rsid w:val="006D6F16"/>
    <w:rsid w:val="006E4F2E"/>
    <w:rsid w:val="006E57A3"/>
    <w:rsid w:val="00713DE3"/>
    <w:rsid w:val="0073549E"/>
    <w:rsid w:val="00775CF7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93838"/>
    <w:rsid w:val="008C737E"/>
    <w:rsid w:val="008D703F"/>
    <w:rsid w:val="008E210B"/>
    <w:rsid w:val="008E6575"/>
    <w:rsid w:val="0090274A"/>
    <w:rsid w:val="00906E69"/>
    <w:rsid w:val="00911405"/>
    <w:rsid w:val="00914D21"/>
    <w:rsid w:val="009317D5"/>
    <w:rsid w:val="00935D9D"/>
    <w:rsid w:val="00941FAA"/>
    <w:rsid w:val="00942F15"/>
    <w:rsid w:val="00950BD0"/>
    <w:rsid w:val="0096508B"/>
    <w:rsid w:val="00990E60"/>
    <w:rsid w:val="009A7B50"/>
    <w:rsid w:val="009C61D7"/>
    <w:rsid w:val="009D5ED5"/>
    <w:rsid w:val="009D774C"/>
    <w:rsid w:val="009F7FCD"/>
    <w:rsid w:val="00A607C2"/>
    <w:rsid w:val="00A6476F"/>
    <w:rsid w:val="00A80666"/>
    <w:rsid w:val="00AA017C"/>
    <w:rsid w:val="00AA6218"/>
    <w:rsid w:val="00AD5A2B"/>
    <w:rsid w:val="00AE36D7"/>
    <w:rsid w:val="00AE3BCE"/>
    <w:rsid w:val="00AE47D0"/>
    <w:rsid w:val="00AF7107"/>
    <w:rsid w:val="00B17975"/>
    <w:rsid w:val="00B32682"/>
    <w:rsid w:val="00B46C9B"/>
    <w:rsid w:val="00B53747"/>
    <w:rsid w:val="00B7431D"/>
    <w:rsid w:val="00BB0952"/>
    <w:rsid w:val="00BB106D"/>
    <w:rsid w:val="00BB7FAD"/>
    <w:rsid w:val="00BD0CD6"/>
    <w:rsid w:val="00BE262E"/>
    <w:rsid w:val="00BE5757"/>
    <w:rsid w:val="00C07F2B"/>
    <w:rsid w:val="00C22E38"/>
    <w:rsid w:val="00C4592C"/>
    <w:rsid w:val="00C52DC1"/>
    <w:rsid w:val="00C601D0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73DFB"/>
    <w:rsid w:val="00D76B04"/>
    <w:rsid w:val="00D93195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676CB"/>
    <w:rsid w:val="00F70385"/>
    <w:rsid w:val="00F923B7"/>
    <w:rsid w:val="00FA23EF"/>
    <w:rsid w:val="00FA5BFC"/>
    <w:rsid w:val="00FA60C9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B3EB-83B4-4ADF-87C4-1D7C4088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11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18689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91</cp:revision>
  <cp:lastPrinted>2017-11-07T03:11:00Z</cp:lastPrinted>
  <dcterms:created xsi:type="dcterms:W3CDTF">2016-04-14T07:57:00Z</dcterms:created>
  <dcterms:modified xsi:type="dcterms:W3CDTF">2017-11-08T04:04:00Z</dcterms:modified>
</cp:coreProperties>
</file>